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EF" w:rsidRDefault="00CB3EEF" w:rsidP="00BE2BB3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680ED5" w:rsidRDefault="00680ED5" w:rsidP="00BE2BB3">
      <w:pPr>
        <w:spacing w:after="0"/>
        <w:rPr>
          <w:b/>
          <w:sz w:val="24"/>
          <w:szCs w:val="24"/>
        </w:rPr>
      </w:pPr>
    </w:p>
    <w:p w:rsidR="00EE5B3F" w:rsidRDefault="00EE5B3F" w:rsidP="00BE2B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AD4255">
        <w:rPr>
          <w:b/>
          <w:sz w:val="24"/>
          <w:szCs w:val="24"/>
        </w:rPr>
        <w:t xml:space="preserve">nfluenza </w:t>
      </w:r>
      <w:r>
        <w:rPr>
          <w:b/>
          <w:sz w:val="24"/>
          <w:szCs w:val="24"/>
        </w:rPr>
        <w:t xml:space="preserve">specimen </w:t>
      </w:r>
      <w:r w:rsidR="00AD4255" w:rsidRPr="00AD4255">
        <w:rPr>
          <w:b/>
          <w:sz w:val="24"/>
          <w:szCs w:val="24"/>
        </w:rPr>
        <w:t>referral to WHO</w:t>
      </w:r>
      <w:r w:rsidR="00680ED5">
        <w:rPr>
          <w:b/>
          <w:sz w:val="24"/>
          <w:szCs w:val="24"/>
        </w:rPr>
        <w:t xml:space="preserve"> </w:t>
      </w:r>
      <w:r w:rsidR="00AD4255" w:rsidRPr="00AD4255">
        <w:rPr>
          <w:b/>
          <w:sz w:val="24"/>
          <w:szCs w:val="24"/>
        </w:rPr>
        <w:t xml:space="preserve">CC </w:t>
      </w:r>
      <w:r w:rsidRPr="00AD4255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 xml:space="preserve">5 </w:t>
      </w:r>
    </w:p>
    <w:p w:rsidR="003F7F0C" w:rsidRDefault="003F7F0C" w:rsidP="00BE2BB3">
      <w:pPr>
        <w:spacing w:after="0"/>
      </w:pPr>
      <w:r>
        <w:t>The WHO Collaborating Centre for Reference and Research on Influenza</w:t>
      </w:r>
      <w:r w:rsidR="00F402EA">
        <w:t xml:space="preserve"> in Melbourne</w:t>
      </w:r>
      <w:r>
        <w:t xml:space="preserve"> is interested in receiving influenza virus samples and isolates for further strain characteri</w:t>
      </w:r>
      <w:r w:rsidR="00680ED5">
        <w:t>s</w:t>
      </w:r>
      <w:r>
        <w:t xml:space="preserve">ation and molecular sequencing. As </w:t>
      </w:r>
      <w:r w:rsidR="00680ED5">
        <w:t xml:space="preserve">your laboratory </w:t>
      </w:r>
      <w:r>
        <w:t xml:space="preserve">has sent us samples in the past, we have prepared this document to guide </w:t>
      </w:r>
      <w:r w:rsidR="00680ED5">
        <w:t xml:space="preserve">your </w:t>
      </w:r>
      <w:r>
        <w:t xml:space="preserve">decision about which samples to send.  These recommendations are based on our experience with successful isolation of viruses and likelihood of obtaining a vaccine candidate.  </w:t>
      </w:r>
    </w:p>
    <w:p w:rsidR="00F177C4" w:rsidRPr="00F177C4" w:rsidRDefault="00F177C4" w:rsidP="00BE2BB3">
      <w:pPr>
        <w:spacing w:after="0"/>
        <w:rPr>
          <w:b/>
          <w:sz w:val="24"/>
          <w:szCs w:val="24"/>
        </w:rPr>
      </w:pPr>
    </w:p>
    <w:p w:rsidR="00EC5E15" w:rsidRPr="00EC5E15" w:rsidRDefault="002172E0" w:rsidP="00EC5E15">
      <w:pPr>
        <w:spacing w:after="0"/>
        <w:rPr>
          <w:b/>
          <w:sz w:val="20"/>
          <w:szCs w:val="20"/>
        </w:rPr>
      </w:pPr>
      <w:r>
        <w:rPr>
          <w:b/>
        </w:rPr>
        <w:t>Suggested guidelines</w:t>
      </w:r>
      <w:r w:rsidR="00187617" w:rsidRPr="00EC5E15">
        <w:rPr>
          <w:b/>
          <w:sz w:val="20"/>
          <w:szCs w:val="20"/>
        </w:rPr>
        <w:t xml:space="preserve"> for clinical </w:t>
      </w:r>
      <w:r w:rsidR="001202CF" w:rsidRPr="00EC5E15">
        <w:rPr>
          <w:b/>
          <w:sz w:val="20"/>
          <w:szCs w:val="20"/>
        </w:rPr>
        <w:t>specimen selection for referral to WHOCC</w:t>
      </w:r>
      <w:r w:rsidR="00187617" w:rsidRPr="00EC5E15">
        <w:rPr>
          <w:b/>
          <w:sz w:val="20"/>
          <w:szCs w:val="20"/>
        </w:rPr>
        <w:t xml:space="preserve"> for isolation</w:t>
      </w:r>
      <w:r>
        <w:rPr>
          <w:b/>
          <w:sz w:val="20"/>
          <w:szCs w:val="20"/>
        </w:rPr>
        <w:t>:</w:t>
      </w:r>
    </w:p>
    <w:p w:rsidR="00EC5E15" w:rsidRPr="00A207EC" w:rsidRDefault="00EC5E15">
      <w:pPr>
        <w:pStyle w:val="ListParagraph"/>
        <w:numPr>
          <w:ilvl w:val="0"/>
          <w:numId w:val="1"/>
        </w:numPr>
        <w:spacing w:after="0"/>
        <w:ind w:left="714" w:hanging="357"/>
        <w:rPr>
          <w:b/>
        </w:rPr>
      </w:pPr>
      <w:r w:rsidRPr="00A207EC">
        <w:t>‘</w:t>
      </w:r>
      <w:r w:rsidR="002172E0" w:rsidRPr="00A207EC">
        <w:t>F</w:t>
      </w:r>
      <w:r w:rsidRPr="00A207EC">
        <w:t>resh’ specimens</w:t>
      </w:r>
      <w:r w:rsidR="003F7F0C">
        <w:t>:</w:t>
      </w:r>
      <w:r w:rsidRPr="00A207EC">
        <w:t xml:space="preserve"> specimens processed for storage soon after collection and </w:t>
      </w:r>
      <w:r w:rsidR="00BA7219">
        <w:t xml:space="preserve">then forwarded to WHOCC </w:t>
      </w:r>
      <w:r w:rsidRPr="00A207EC">
        <w:t>within 48h</w:t>
      </w:r>
    </w:p>
    <w:p w:rsidR="00187617" w:rsidRPr="00A207EC" w:rsidRDefault="002172E0" w:rsidP="00EC5E15">
      <w:pPr>
        <w:pStyle w:val="ListParagraph"/>
        <w:numPr>
          <w:ilvl w:val="0"/>
          <w:numId w:val="1"/>
        </w:numPr>
        <w:spacing w:after="0"/>
        <w:ind w:left="714" w:hanging="357"/>
      </w:pPr>
      <w:r w:rsidRPr="00A207EC">
        <w:t>H</w:t>
      </w:r>
      <w:r w:rsidR="00187617" w:rsidRPr="00A207EC">
        <w:t>igh viral load</w:t>
      </w:r>
      <w:r w:rsidR="003F7F0C">
        <w:t xml:space="preserve">: </w:t>
      </w:r>
      <w:r w:rsidR="00187617" w:rsidRPr="00A207EC">
        <w:t>low cross-over threshold (CT) in NAT, strong DFA</w:t>
      </w:r>
    </w:p>
    <w:p w:rsidR="00187617" w:rsidRPr="00A207EC" w:rsidRDefault="002172E0" w:rsidP="00EC5E15">
      <w:pPr>
        <w:pStyle w:val="ListParagraph"/>
        <w:numPr>
          <w:ilvl w:val="0"/>
          <w:numId w:val="1"/>
        </w:numPr>
        <w:spacing w:after="0"/>
        <w:ind w:left="714" w:hanging="357"/>
      </w:pPr>
      <w:r w:rsidRPr="00A207EC">
        <w:t>C</w:t>
      </w:r>
      <w:r w:rsidR="00187617" w:rsidRPr="00A207EC">
        <w:t xml:space="preserve">linically significant </w:t>
      </w:r>
      <w:r>
        <w:t>(as described under scenario 3)</w:t>
      </w:r>
    </w:p>
    <w:p w:rsidR="00EE5B3F" w:rsidRPr="002172E0" w:rsidRDefault="002172E0" w:rsidP="00EE5B3F">
      <w:pPr>
        <w:pStyle w:val="ListParagraph"/>
        <w:numPr>
          <w:ilvl w:val="0"/>
          <w:numId w:val="1"/>
        </w:numPr>
        <w:spacing w:after="0"/>
        <w:ind w:left="714" w:hanging="357"/>
      </w:pPr>
      <w:r w:rsidRPr="00A207EC">
        <w:t>S</w:t>
      </w:r>
      <w:r w:rsidR="00140A6B" w:rsidRPr="00A207EC">
        <w:t>wabs in media (not dry swabs)</w:t>
      </w:r>
    </w:p>
    <w:p w:rsidR="002172E0" w:rsidRPr="008C7C5C" w:rsidRDefault="002172E0">
      <w:pPr>
        <w:pStyle w:val="ListParagraph"/>
        <w:numPr>
          <w:ilvl w:val="0"/>
          <w:numId w:val="1"/>
        </w:numPr>
        <w:spacing w:after="0"/>
        <w:ind w:left="714" w:hanging="357"/>
        <w:rPr>
          <w:rFonts w:cstheme="minorHAnsi"/>
        </w:rPr>
      </w:pPr>
      <w:r>
        <w:t>C</w:t>
      </w:r>
      <w:r w:rsidR="00187617" w:rsidRPr="00EC5E15">
        <w:t>onsider proportion per geographic area, range of ages if possible</w:t>
      </w:r>
    </w:p>
    <w:p w:rsidR="00756E4A" w:rsidRPr="008C7C5C" w:rsidRDefault="00254155">
      <w:pPr>
        <w:pStyle w:val="ListParagraph"/>
        <w:numPr>
          <w:ilvl w:val="0"/>
          <w:numId w:val="1"/>
        </w:numPr>
        <w:spacing w:after="0"/>
        <w:ind w:left="714" w:hanging="357"/>
        <w:rPr>
          <w:rFonts w:cstheme="minorHAnsi"/>
        </w:rPr>
      </w:pPr>
      <w:r>
        <w:t>Please pack samples in order of the paperwork. E.g. place samples in boxes (or equivalent) in the same order as in the paper work</w:t>
      </w:r>
      <w:r w:rsidR="006B2B1F">
        <w:t>.  If using bags, please</w:t>
      </w:r>
      <w:r>
        <w:t xml:space="preserve"> pack no more than 10 samples per bag.  </w:t>
      </w:r>
    </w:p>
    <w:p w:rsidR="002172E0" w:rsidRDefault="003F7F0C">
      <w:pPr>
        <w:pStyle w:val="ListParagraph"/>
        <w:numPr>
          <w:ilvl w:val="0"/>
          <w:numId w:val="1"/>
        </w:numPr>
        <w:spacing w:after="0"/>
        <w:ind w:left="714" w:hanging="357"/>
      </w:pPr>
      <w:r>
        <w:t>Please s</w:t>
      </w:r>
      <w:r w:rsidR="002172E0" w:rsidRPr="002172E0">
        <w:t>hip on dry ice</w:t>
      </w:r>
      <w:r w:rsidR="002172E0">
        <w:t>. If you cannot send on dry ice, please only send samples that are &lt;48h old and have been stored at 2-8°C</w:t>
      </w:r>
      <w:r>
        <w:t>, shipped with cold packs</w:t>
      </w:r>
      <w:r w:rsidR="002172E0">
        <w:t xml:space="preserve">. </w:t>
      </w:r>
    </w:p>
    <w:p w:rsidR="002172E0" w:rsidRDefault="002172E0" w:rsidP="00A207EC">
      <w:pPr>
        <w:spacing w:after="0"/>
      </w:pPr>
    </w:p>
    <w:tbl>
      <w:tblPr>
        <w:tblStyle w:val="TableGrid"/>
        <w:tblW w:w="10125" w:type="dxa"/>
        <w:jc w:val="center"/>
        <w:tblLayout w:type="fixed"/>
        <w:tblLook w:val="04A0" w:firstRow="1" w:lastRow="0" w:firstColumn="1" w:lastColumn="0" w:noHBand="0" w:noVBand="1"/>
      </w:tblPr>
      <w:tblGrid>
        <w:gridCol w:w="1289"/>
        <w:gridCol w:w="1890"/>
        <w:gridCol w:w="1843"/>
        <w:gridCol w:w="3402"/>
        <w:gridCol w:w="1701"/>
      </w:tblGrid>
      <w:tr w:rsidR="002172E0" w:rsidRPr="001846E3" w:rsidTr="0013223F">
        <w:trPr>
          <w:jc w:val="center"/>
        </w:trPr>
        <w:tc>
          <w:tcPr>
            <w:tcW w:w="1289" w:type="dxa"/>
          </w:tcPr>
          <w:p w:rsidR="002172E0" w:rsidRPr="001846E3" w:rsidRDefault="002172E0" w:rsidP="001322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1890" w:type="dxa"/>
          </w:tcPr>
          <w:p w:rsidR="002172E0" w:rsidRDefault="002172E0" w:rsidP="0013223F">
            <w:pPr>
              <w:rPr>
                <w:b/>
                <w:sz w:val="20"/>
                <w:szCs w:val="20"/>
              </w:rPr>
            </w:pPr>
            <w:r w:rsidRPr="001846E3">
              <w:rPr>
                <w:b/>
                <w:sz w:val="20"/>
                <w:szCs w:val="20"/>
              </w:rPr>
              <w:t>Scenario 1: Out of season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172E0" w:rsidRPr="001846E3" w:rsidRDefault="002172E0" w:rsidP="001322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(roughly Dec-Mar)*</w:t>
            </w:r>
          </w:p>
          <w:p w:rsidR="002172E0" w:rsidRPr="001846E3" w:rsidRDefault="002172E0" w:rsidP="001322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172E0" w:rsidRDefault="002172E0" w:rsidP="0013223F">
            <w:pPr>
              <w:rPr>
                <w:b/>
                <w:sz w:val="20"/>
                <w:szCs w:val="20"/>
              </w:rPr>
            </w:pPr>
            <w:r w:rsidRPr="001846E3">
              <w:rPr>
                <w:b/>
                <w:sz w:val="20"/>
                <w:szCs w:val="20"/>
              </w:rPr>
              <w:t>Scenario 2: Early in season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172E0" w:rsidRPr="001846E3" w:rsidRDefault="002172E0" w:rsidP="001322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(roughly Apr-Jun)*</w:t>
            </w:r>
          </w:p>
        </w:tc>
        <w:tc>
          <w:tcPr>
            <w:tcW w:w="3402" w:type="dxa"/>
          </w:tcPr>
          <w:p w:rsidR="002172E0" w:rsidRDefault="002172E0" w:rsidP="0013223F">
            <w:pPr>
              <w:rPr>
                <w:b/>
                <w:sz w:val="20"/>
                <w:szCs w:val="20"/>
              </w:rPr>
            </w:pPr>
            <w:r w:rsidRPr="001846E3">
              <w:rPr>
                <w:b/>
                <w:sz w:val="20"/>
                <w:szCs w:val="20"/>
              </w:rPr>
              <w:t xml:space="preserve">Scenario 3: </w:t>
            </w:r>
            <w:proofErr w:type="spellStart"/>
            <w:r w:rsidRPr="001846E3">
              <w:rPr>
                <w:b/>
                <w:sz w:val="20"/>
                <w:szCs w:val="20"/>
              </w:rPr>
              <w:t>Mid season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2172E0" w:rsidRPr="001846E3" w:rsidRDefault="002172E0" w:rsidP="001322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(roughly Jul-Sep)*</w:t>
            </w:r>
          </w:p>
        </w:tc>
        <w:tc>
          <w:tcPr>
            <w:tcW w:w="1701" w:type="dxa"/>
          </w:tcPr>
          <w:p w:rsidR="002172E0" w:rsidRDefault="002172E0" w:rsidP="0013223F">
            <w:pPr>
              <w:rPr>
                <w:b/>
                <w:sz w:val="20"/>
                <w:szCs w:val="20"/>
              </w:rPr>
            </w:pPr>
            <w:r w:rsidRPr="001846E3">
              <w:rPr>
                <w:b/>
                <w:sz w:val="20"/>
                <w:szCs w:val="20"/>
              </w:rPr>
              <w:t>Scenario 4: Late in season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172E0" w:rsidRPr="001846E3" w:rsidRDefault="002172E0" w:rsidP="001322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(roughly Oct-Dec)*</w:t>
            </w:r>
          </w:p>
        </w:tc>
      </w:tr>
      <w:tr w:rsidR="002172E0" w:rsidRPr="001846E3" w:rsidTr="0013223F">
        <w:trPr>
          <w:jc w:val="center"/>
        </w:trPr>
        <w:tc>
          <w:tcPr>
            <w:tcW w:w="1289" w:type="dxa"/>
          </w:tcPr>
          <w:p w:rsidR="002172E0" w:rsidRDefault="002172E0" w:rsidP="001322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Specimens to refer</w:t>
            </w:r>
          </w:p>
        </w:tc>
        <w:tc>
          <w:tcPr>
            <w:tcW w:w="1890" w:type="dxa"/>
          </w:tcPr>
          <w:p w:rsidR="002172E0" w:rsidRPr="001846E3" w:rsidRDefault="002172E0" w:rsidP="0013223F">
            <w:pPr>
              <w:rPr>
                <w:sz w:val="20"/>
                <w:szCs w:val="20"/>
              </w:rPr>
            </w:pPr>
            <w:r w:rsidRPr="00AD4255">
              <w:rPr>
                <w:sz w:val="20"/>
                <w:szCs w:val="20"/>
              </w:rPr>
              <w:t>All influenza positive specimens</w:t>
            </w:r>
          </w:p>
        </w:tc>
        <w:tc>
          <w:tcPr>
            <w:tcW w:w="1843" w:type="dxa"/>
          </w:tcPr>
          <w:p w:rsidR="002172E0" w:rsidRPr="001846E3" w:rsidRDefault="002172E0" w:rsidP="0013223F">
            <w:pPr>
              <w:rPr>
                <w:b/>
                <w:sz w:val="20"/>
                <w:szCs w:val="20"/>
              </w:rPr>
            </w:pPr>
            <w:r w:rsidRPr="00AD4255">
              <w:rPr>
                <w:sz w:val="20"/>
                <w:szCs w:val="20"/>
              </w:rPr>
              <w:t>All influenza positive specimens</w:t>
            </w:r>
          </w:p>
        </w:tc>
        <w:tc>
          <w:tcPr>
            <w:tcW w:w="3402" w:type="dxa"/>
          </w:tcPr>
          <w:p w:rsidR="002172E0" w:rsidRPr="001A67F9" w:rsidRDefault="002172E0" w:rsidP="001322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Specimens referred </w:t>
            </w:r>
            <w:r w:rsidRPr="008A7BA3">
              <w:rPr>
                <w:b/>
                <w:sz w:val="20"/>
                <w:szCs w:val="20"/>
              </w:rPr>
              <w:t>by exception</w:t>
            </w:r>
            <w:r>
              <w:rPr>
                <w:sz w:val="20"/>
                <w:szCs w:val="20"/>
              </w:rPr>
              <w:t xml:space="preserve"> </w:t>
            </w:r>
            <w:r w:rsidRPr="001A67F9">
              <w:rPr>
                <w:b/>
                <w:sz w:val="20"/>
                <w:szCs w:val="20"/>
              </w:rPr>
              <w:t>only</w:t>
            </w:r>
            <w:r w:rsidRPr="001846E3">
              <w:rPr>
                <w:sz w:val="20"/>
                <w:szCs w:val="20"/>
              </w:rPr>
              <w:t xml:space="preserve"> from significant patients e</w:t>
            </w:r>
            <w:r>
              <w:rPr>
                <w:sz w:val="20"/>
                <w:szCs w:val="20"/>
              </w:rPr>
              <w:t>.</w:t>
            </w:r>
            <w:r w:rsidRPr="001846E3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1846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samples unable to be subtyped with current primers, returned travellers with onset overseas, vaccinated, ICU, pregnancy, other </w:t>
            </w:r>
            <w:r w:rsidRPr="001846E3">
              <w:rPr>
                <w:sz w:val="20"/>
                <w:szCs w:val="20"/>
              </w:rPr>
              <w:t>immunocompromised, community or institution outbreaks</w:t>
            </w:r>
            <w:r>
              <w:rPr>
                <w:sz w:val="20"/>
                <w:szCs w:val="20"/>
              </w:rPr>
              <w:t xml:space="preserve">, unusual community cluster, clinically suspected antiviral resistance, indigenous patients, post-mortem samples, children &lt;5y </w:t>
            </w:r>
          </w:p>
        </w:tc>
        <w:tc>
          <w:tcPr>
            <w:tcW w:w="1701" w:type="dxa"/>
          </w:tcPr>
          <w:p w:rsidR="002172E0" w:rsidRPr="001846E3" w:rsidRDefault="002172E0" w:rsidP="0013223F">
            <w:pPr>
              <w:rPr>
                <w:b/>
                <w:sz w:val="20"/>
                <w:szCs w:val="20"/>
              </w:rPr>
            </w:pPr>
            <w:r w:rsidRPr="00AD4255">
              <w:rPr>
                <w:sz w:val="20"/>
                <w:szCs w:val="20"/>
              </w:rPr>
              <w:t>All influenza positive specimens</w:t>
            </w:r>
          </w:p>
        </w:tc>
      </w:tr>
      <w:tr w:rsidR="002172E0" w:rsidRPr="001846E3" w:rsidTr="0013223F">
        <w:trPr>
          <w:jc w:val="center"/>
        </w:trPr>
        <w:tc>
          <w:tcPr>
            <w:tcW w:w="1289" w:type="dxa"/>
          </w:tcPr>
          <w:p w:rsidR="002172E0" w:rsidRDefault="002172E0" w:rsidP="001322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Dispatch frequency</w:t>
            </w:r>
          </w:p>
        </w:tc>
        <w:tc>
          <w:tcPr>
            <w:tcW w:w="1890" w:type="dxa"/>
          </w:tcPr>
          <w:p w:rsidR="002172E0" w:rsidRPr="00AD4255" w:rsidRDefault="002172E0" w:rsidP="00132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Every 2-3 months (i.e. in March) (unless </w:t>
            </w:r>
            <w:proofErr w:type="spellStart"/>
            <w:r>
              <w:rPr>
                <w:sz w:val="20"/>
                <w:szCs w:val="20"/>
              </w:rPr>
              <w:t>unsubtypable</w:t>
            </w:r>
            <w:proofErr w:type="spellEnd"/>
            <w:r>
              <w:rPr>
                <w:sz w:val="20"/>
                <w:szCs w:val="20"/>
              </w:rPr>
              <w:t>, outbreak, suspected H5/H7 or otherwise of particular interest)</w:t>
            </w:r>
          </w:p>
        </w:tc>
        <w:tc>
          <w:tcPr>
            <w:tcW w:w="1843" w:type="dxa"/>
          </w:tcPr>
          <w:p w:rsidR="002172E0" w:rsidRPr="00AD4255" w:rsidRDefault="002172E0" w:rsidP="00132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Fortnightly </w:t>
            </w:r>
          </w:p>
        </w:tc>
        <w:tc>
          <w:tcPr>
            <w:tcW w:w="3402" w:type="dxa"/>
          </w:tcPr>
          <w:p w:rsidR="002172E0" w:rsidRPr="001A67F9" w:rsidRDefault="002172E0" w:rsidP="0013223F">
            <w:pPr>
              <w:rPr>
                <w:sz w:val="20"/>
                <w:szCs w:val="20"/>
              </w:rPr>
            </w:pPr>
            <w:r w:rsidRPr="001A67F9">
              <w:rPr>
                <w:sz w:val="20"/>
                <w:szCs w:val="20"/>
              </w:rPr>
              <w:t>Fortnightly</w:t>
            </w:r>
            <w:r>
              <w:rPr>
                <w:sz w:val="20"/>
                <w:szCs w:val="20"/>
              </w:rPr>
              <w:t xml:space="preserve">.  Send all by mid-August.  </w:t>
            </w:r>
          </w:p>
        </w:tc>
        <w:tc>
          <w:tcPr>
            <w:tcW w:w="1701" w:type="dxa"/>
          </w:tcPr>
          <w:p w:rsidR="002172E0" w:rsidRPr="00AD4255" w:rsidRDefault="002172E0" w:rsidP="00132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Monthly. Send all by early January </w:t>
            </w:r>
          </w:p>
        </w:tc>
      </w:tr>
    </w:tbl>
    <w:p w:rsidR="002172E0" w:rsidRPr="00A207EC" w:rsidRDefault="002172E0" w:rsidP="002172E0">
      <w:pPr>
        <w:spacing w:after="0"/>
      </w:pPr>
      <w:r w:rsidRPr="00A207EC">
        <w:t>*These dates may vary depending on the season.  Your state health department can provide guidance</w:t>
      </w:r>
    </w:p>
    <w:p w:rsidR="002172E0" w:rsidRDefault="002172E0"/>
    <w:p w:rsidR="002172E0" w:rsidRPr="002172E0" w:rsidRDefault="002172E0" w:rsidP="002172E0">
      <w:pPr>
        <w:jc w:val="both"/>
        <w:rPr>
          <w:rFonts w:cs="Arial"/>
        </w:rPr>
      </w:pPr>
      <w:r w:rsidRPr="002172E0">
        <w:rPr>
          <w:rFonts w:cs="Arial"/>
        </w:rPr>
        <w:t xml:space="preserve">If you have any questions about suitable samples to send, please contact Rob Shaw, at: </w:t>
      </w:r>
      <w:hyperlink r:id="rId8" w:history="1">
        <w:r w:rsidRPr="00A207EC">
          <w:rPr>
            <w:rStyle w:val="Hyperlink"/>
            <w:rFonts w:asciiTheme="minorHAnsi" w:hAnsiTheme="minorHAnsi" w:cs="Arial"/>
          </w:rPr>
          <w:t>robert.shaw@influenzacentre.org</w:t>
        </w:r>
      </w:hyperlink>
      <w:r w:rsidRPr="002172E0">
        <w:rPr>
          <w:rFonts w:cs="Arial"/>
        </w:rPr>
        <w:t xml:space="preserve"> </w:t>
      </w:r>
    </w:p>
    <w:p w:rsidR="002172E0" w:rsidRPr="00A207EC" w:rsidRDefault="002172E0" w:rsidP="00A207EC"/>
    <w:sectPr w:rsidR="002172E0" w:rsidRPr="00A207EC" w:rsidSect="00A207EC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C1" w:rsidRDefault="00A90FC1" w:rsidP="00C30DAD">
      <w:pPr>
        <w:spacing w:after="0" w:line="240" w:lineRule="auto"/>
      </w:pPr>
      <w:r>
        <w:separator/>
      </w:r>
    </w:p>
  </w:endnote>
  <w:endnote w:type="continuationSeparator" w:id="0">
    <w:p w:rsidR="00A90FC1" w:rsidRDefault="00A90FC1" w:rsidP="00C3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C1" w:rsidRDefault="00A90FC1" w:rsidP="00AD4255">
    <w:pPr>
      <w:pStyle w:val="Footer"/>
      <w:jc w:val="center"/>
    </w:pPr>
    <w:r>
      <w:t xml:space="preserve"> v2:06/07/12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C1" w:rsidRDefault="00A90FC1" w:rsidP="00C30DAD">
      <w:pPr>
        <w:spacing w:after="0" w:line="240" w:lineRule="auto"/>
      </w:pPr>
      <w:r>
        <w:separator/>
      </w:r>
    </w:p>
  </w:footnote>
  <w:footnote w:type="continuationSeparator" w:id="0">
    <w:p w:rsidR="00A90FC1" w:rsidRDefault="00A90FC1" w:rsidP="00C3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EF" w:rsidRDefault="00CB3EEF">
    <w:pPr>
      <w:pStyle w:val="Header"/>
    </w:pPr>
    <w:r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9AC647D" wp14:editId="7597DF35">
          <wp:simplePos x="0" y="0"/>
          <wp:positionH relativeFrom="column">
            <wp:posOffset>-597261</wp:posOffset>
          </wp:positionH>
          <wp:positionV relativeFrom="paragraph">
            <wp:posOffset>-259147</wp:posOffset>
          </wp:positionV>
          <wp:extent cx="846161" cy="8461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162" cy="846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3EEF" w:rsidRDefault="00CB3E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84780"/>
    <w:multiLevelType w:val="hybridMultilevel"/>
    <w:tmpl w:val="9670C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B1"/>
    <w:rsid w:val="00016217"/>
    <w:rsid w:val="001202CF"/>
    <w:rsid w:val="00140A6B"/>
    <w:rsid w:val="001846E3"/>
    <w:rsid w:val="00187617"/>
    <w:rsid w:val="00194F07"/>
    <w:rsid w:val="001A60FD"/>
    <w:rsid w:val="001A67F9"/>
    <w:rsid w:val="001A7464"/>
    <w:rsid w:val="002172E0"/>
    <w:rsid w:val="00240932"/>
    <w:rsid w:val="00254155"/>
    <w:rsid w:val="00392AC3"/>
    <w:rsid w:val="003D66DE"/>
    <w:rsid w:val="003F7F0C"/>
    <w:rsid w:val="00434F61"/>
    <w:rsid w:val="00442ADA"/>
    <w:rsid w:val="0045646B"/>
    <w:rsid w:val="004E5327"/>
    <w:rsid w:val="005B7DAA"/>
    <w:rsid w:val="005E301C"/>
    <w:rsid w:val="006307C8"/>
    <w:rsid w:val="00632FFE"/>
    <w:rsid w:val="00680ED5"/>
    <w:rsid w:val="006B2B1F"/>
    <w:rsid w:val="006C13C6"/>
    <w:rsid w:val="006C7FD7"/>
    <w:rsid w:val="006D6E5C"/>
    <w:rsid w:val="00756E4A"/>
    <w:rsid w:val="007C145D"/>
    <w:rsid w:val="008A7BA3"/>
    <w:rsid w:val="008C3748"/>
    <w:rsid w:val="008C7C5C"/>
    <w:rsid w:val="00986F95"/>
    <w:rsid w:val="00997F14"/>
    <w:rsid w:val="009B4720"/>
    <w:rsid w:val="009E1CDC"/>
    <w:rsid w:val="00A207EC"/>
    <w:rsid w:val="00A90FC1"/>
    <w:rsid w:val="00AD4255"/>
    <w:rsid w:val="00AE23FC"/>
    <w:rsid w:val="00B944E6"/>
    <w:rsid w:val="00BA7219"/>
    <w:rsid w:val="00BE2BB3"/>
    <w:rsid w:val="00C30DAD"/>
    <w:rsid w:val="00CB3EEF"/>
    <w:rsid w:val="00D428B6"/>
    <w:rsid w:val="00DE7E7A"/>
    <w:rsid w:val="00E15361"/>
    <w:rsid w:val="00E45098"/>
    <w:rsid w:val="00E62774"/>
    <w:rsid w:val="00EA7FAF"/>
    <w:rsid w:val="00EB3F9E"/>
    <w:rsid w:val="00EC5E15"/>
    <w:rsid w:val="00EE5B3F"/>
    <w:rsid w:val="00EE61B1"/>
    <w:rsid w:val="00F1464B"/>
    <w:rsid w:val="00F177C4"/>
    <w:rsid w:val="00F402EA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A7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DAD"/>
  </w:style>
  <w:style w:type="paragraph" w:styleId="Footer">
    <w:name w:val="footer"/>
    <w:basedOn w:val="Normal"/>
    <w:link w:val="FooterChar"/>
    <w:uiPriority w:val="99"/>
    <w:unhideWhenUsed/>
    <w:rsid w:val="00C30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DAD"/>
  </w:style>
  <w:style w:type="paragraph" w:styleId="BalloonText">
    <w:name w:val="Balloon Text"/>
    <w:basedOn w:val="Normal"/>
    <w:link w:val="BalloonTextChar"/>
    <w:uiPriority w:val="99"/>
    <w:semiHidden/>
    <w:unhideWhenUsed/>
    <w:rsid w:val="00AE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5B3F"/>
    <w:pPr>
      <w:spacing w:after="0" w:line="240" w:lineRule="auto"/>
    </w:pPr>
  </w:style>
  <w:style w:type="character" w:styleId="Hyperlink">
    <w:name w:val="Hyperlink"/>
    <w:basedOn w:val="DefaultParagraphFont"/>
    <w:rsid w:val="002172E0"/>
    <w:rPr>
      <w:rFonts w:ascii="Verdana" w:hAnsi="Verdana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A7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DAD"/>
  </w:style>
  <w:style w:type="paragraph" w:styleId="Footer">
    <w:name w:val="footer"/>
    <w:basedOn w:val="Normal"/>
    <w:link w:val="FooterChar"/>
    <w:uiPriority w:val="99"/>
    <w:unhideWhenUsed/>
    <w:rsid w:val="00C30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DAD"/>
  </w:style>
  <w:style w:type="paragraph" w:styleId="BalloonText">
    <w:name w:val="Balloon Text"/>
    <w:basedOn w:val="Normal"/>
    <w:link w:val="BalloonTextChar"/>
    <w:uiPriority w:val="99"/>
    <w:semiHidden/>
    <w:unhideWhenUsed/>
    <w:rsid w:val="00AE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5B3F"/>
    <w:pPr>
      <w:spacing w:after="0" w:line="240" w:lineRule="auto"/>
    </w:pPr>
  </w:style>
  <w:style w:type="character" w:styleId="Hyperlink">
    <w:name w:val="Hyperlink"/>
    <w:basedOn w:val="DefaultParagraphFont"/>
    <w:rsid w:val="002172E0"/>
    <w:rPr>
      <w:rFonts w:ascii="Verdana" w:hAnsi="Verdan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shaw@influenzacentr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Health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shada</dc:creator>
  <cp:lastModifiedBy>Chow</cp:lastModifiedBy>
  <cp:revision>2</cp:revision>
  <cp:lastPrinted>2012-03-21T23:13:00Z</cp:lastPrinted>
  <dcterms:created xsi:type="dcterms:W3CDTF">2015-08-18T01:22:00Z</dcterms:created>
  <dcterms:modified xsi:type="dcterms:W3CDTF">2015-08-18T01:22:00Z</dcterms:modified>
</cp:coreProperties>
</file>